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 xml:space="preserve">BILAGA X – Instruktioner för offentliggörande av information om kontracykliska kapitalbuffertar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Mall EU CCyB1 – Den geografiska fördelningen av de kreditexponeringar som är relevanta för beräkningen av den kontracykliska kapitalbufferten.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 för kolumner, flexibelt format för rader.</w:t>
      </w:r>
      <w:r>
        <w:rPr>
          <w:sz w:val="24"/>
          <w:rFonts w:ascii="Times New Roman" w:hAnsi="Times New Roman"/>
        </w:rPr>
        <w:t xml:space="preserve">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Instituten ska offentliggöra den information som avses i artikel 440 a i förordning (EU) nr 575/2013</w:t>
      </w:r>
      <w:r w:rsidRPr="007F4CC8"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 (</w:t>
      </w:r>
      <w:r>
        <w:rPr>
          <w:sz w:val="24"/>
          <w:i/>
          <w:iCs/>
          <w:rFonts w:ascii="Times New Roman" w:hAnsi="Times New Roman"/>
        </w:rPr>
        <w:t xml:space="preserve">kapitalkravsförordningen</w:t>
      </w:r>
      <w:r>
        <w:rPr>
          <w:sz w:val="24"/>
          <w:rFonts w:ascii="Times New Roman" w:hAnsi="Times New Roman"/>
        </w:rPr>
        <w:t xml:space="preserve">) genom att följa de instruktioner som anges nedan i denna bilaga för att fylla i mall EU CCyB1, vilken återfinns i bilaga IX till EBA:s it-lösningar.</w:t>
      </w:r>
      <w:r>
        <w:rPr>
          <w:sz w:val="24"/>
          <w:rFonts w:ascii="Times New Roman" w:hAnsi="Times New Roman"/>
        </w:rPr>
        <w:t xml:space="preserve"> </w:t>
      </w:r>
    </w:p>
    <w:p w14:paraId="7398E361" w14:textId="77777777" w:rsidR="00455D0D" w:rsidRPr="00266A53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Mall EU CCyB1 är begränsad till kreditexponeringar som är relevanta för beräkningen av den kontracykliska kapitalbufferten i enlighet med artikel 140.4 i direktiv 2013/36/EU</w:t>
      </w:r>
      <w:r w:rsidRPr="007F4CC8">
        <w:rPr>
          <w:rStyle w:val="FootnoteReference"/>
          <w:rFonts w:eastAsia="Times New Roman"/>
        </w:rPr>
        <w:footnoteReference w:id="2"/>
      </w:r>
      <w:r>
        <w:rPr>
          <w:sz w:val="24"/>
          <w:rFonts w:ascii="Times New Roman" w:hAnsi="Times New Roman"/>
        </w:rPr>
        <w:t xml:space="preserve"> (</w:t>
      </w:r>
      <w:r>
        <w:rPr>
          <w:sz w:val="24"/>
          <w:i/>
          <w:iCs/>
          <w:rFonts w:ascii="Times New Roman" w:hAnsi="Times New Roman"/>
        </w:rPr>
        <w:t xml:space="preserve">kapitalkravsdirektivet</w:t>
      </w:r>
      <w:r>
        <w:rPr>
          <w:sz w:val="24"/>
          <w:rFonts w:ascii="Times New Roman" w:hAnsi="Times New Roman"/>
        </w:rPr>
        <w:t xml:space="preserve">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010–01X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Fördelning per land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Förteckning över länder där institutet har kreditexponeringar som är relevanta för beräkningen av den institutspecifika kontracykliska bufferten i enlighet med kommissionens delegerade förordning (EU) nr 1152/2014</w:t>
            </w:r>
            <w:r w:rsidRPr="007F4CC8">
              <w:rPr>
                <w:rStyle w:val="FootnoteReference"/>
              </w:rPr>
              <w:footnoteReference w:id="3"/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Antalet rader kan variera beroende på antalet länder där institutet har sina kreditexponeringar som är relevanta för beräkningen av den kontracykliska bufferten.</w:t>
            </w:r>
            <w:r>
              <w:t xml:space="preserve"> </w:t>
            </w:r>
            <w:r>
              <w:t xml:space="preserve">Instituten ska numrera raderna löpande för varje land med början på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 enlighet med kommissionens delegerade förordning (EU) nr 1152/2014 får institutet, om exponeringar i handelslager eller  kreditexponeringar mot utlandet svarar för mindre än 2 % av dess totala riskvägda exponeringar, välja att fördela dessa exponeringar till platsen för institutet (dvs. institutets hemmedlemsstat).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Om exponeringarna för platsen för institutet inbegriper exponeringar från andra länder, ska dessa identifieras tydligt i en fotnot till offentliggörandemallen.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beskrivs i enlighet med förklaringen för kolumnerna a–m i den nuvarande mallen.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Exponeringsvärde för allmänna kreditexponeringar enligt schablonmetoden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Exponeringsvärde för berörda kreditexponeringar som fastställts i enlighet med artikel 140.4 a i kapitalkravsdirektivet och artikel 111 i kapitalkravsförordningen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Exponeringsvärde för berörda kreditexponeringar som fastställts i enlighet med artikel 140.4 c i kapitalkravsdirektivet. Leden a och c i artikel 248 i kapitalkravsförordningen ska inte inkluderas här, utan i kolumn e i denna mall.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Den geografiska fördelningen ska ske i enlighet med kommissionens delegerade förordning (EU) nr 1152/2014.</w:t>
            </w:r>
            <w:r>
              <w:t xml:space="preserve">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Rad 020 (Totalt):</w:t>
            </w:r>
            <w:r>
              <w:t xml:space="preserve"> </w:t>
            </w:r>
            <w:r>
              <w:t xml:space="preserve">Summan av alla berörda kreditexponeringar ska fastställas i enlighet med artikel 140.4 a i kapitalkravsdirektivet och artikel 111 i kapitalkravsförordningen.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Exponeringsvärde för allmänna kreditexponeringar enligt internmetoden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Exponeringsvärde för berörda kreditexponeringar som fastställts i enlighet med artikel 140.4 a i kapitalkravsdirektivet och artiklarna 166, 167 och 168 i kapitalkravsförordningen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Exponeringsvärde för berörda kreditexponeringar som fastställts i enlighet med artikel 140.4 c i kapitalkravsdirektivet. Leden a och c i artikel 248 i kapitalkravsförordningen ska inte inkluderas här, utan i kolumn e i denna mall.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geografiska fördelningen ska ske i enlighet med kommissionens delegerade förordning (EU) nr 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berörda kreditexponeringar ska beräknas i enlighet med artikel 140.4 a i kapitalkravsdirektivet och artiklarna 166, 167 och 168 i kapitalkravsförordningen.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Summan av långa och korta positioner för exponeringar i handelslagret enligt schablonmetoden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långa och korta positioner i berörda kreditexponeringar som fastställts i enlighet med artikel 140.4 b i kapitalkravsdirektivet, beräknad som summan av långa och korta positioner som fastställts i enlighet med artikel 327 i kapitalkravsförordningen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geografiska fördelningen ska ske i enlighet med kommissionens delegerade förordning (EU) nr 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långa och korta positioner i berörda kreditexponeringar ska fastställas i enlighet med artikel 140.4 b i kapitalkravsdirektivet och beräknas som summan av långa och korta positioner som fastställts i enlighet med artikel 327 i kapitalkravsförordningen.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 av exponeringar i handelslagret enligt interna modeller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följande:</w:t>
            </w:r>
          </w:p>
          <w:p w14:paraId="39E4732D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verkliga värdet av avistapositioner som utgör berörda kreditexponeringar som fastställts i enlighet med artikel 140.4 b i kapitalkravsdirektivet och artikel 104 i kapitalkravsförordningen.</w:t>
            </w:r>
          </w:p>
          <w:p w14:paraId="0C23596C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teoretiska värdet av derivat som utgör berörda kreditexponeringar som fastställts i enlighet med artikel 140.4 b i kapitalkravsdirektivet.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geografiska fördelningen ska ske i enlighet med kommissionens delegerade förordning (EU) nr 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det verkliga värdet av alla avistapositioner som utgör berörda kreditexponeringar ska fastställas i enlighet med artikel 140.4 b i kapitalkravsdirektivet och artikel 104 i kapitalkravsförordningen, och summan av det teoretiska värdet av alla derivat som utgör berörda kreditexponeringar ska fastställas i enlighet med artikel 140.4 b i kapitalkravsdirektivet.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Värdepapperiseringsexponeringar Exponeringsvärde utanför handelslagret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Exponeringsvärde för berörda kreditexponeringar som fastställts i enlighet med artikel 140.4 c i kapitalkravsdirektivet och artikel 248 a och c i kapitalkravsförordningen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geografiska fördelningen ska ske i enlighet med kommissionens delegerade förordning (EU) nr 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berörda kreditexponeringar ska fastställas i enlighet med artikel 140.4 c i kapitalkravsdirektivet och artikel 248 a och c i kapitalkravsförordningen.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Totalt exponeringsvärde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beloppen i kolumnerna a, b, c, d och e i denna mall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berörda kreditexponeringar ska fastställas i enlighet med artikel 140.4 i kapitalkravsdirektivet.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– Berörda kreditriskexponeringar – Kreditrisk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Kapitalbaskrav för berörda kreditexponeringar i landet i fråga, som fastställts i enlighet med artikel 140.4 a i kapitalkravsdirektivet och del tre avdelning II i kapitalkravsförordningen, och med beaktande av de kapitalbaskrav som är kopplade till eventuella landsspecifika justeringar av riskvikter som fastställts i enlighet med artikel 458 i kapitalkravsförordningen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kapitalbaskrav för berörda kreditexponeringar ska fastställas i enlighet med artikel 140.4 a i kapitalkravsdirektivet och del tre avdelning II i kapitalkravsförordningen.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– Berörda kreditexponeringar – Marknadsrisk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Kapitalbaskrav för berörda kreditexponeringar i landet i fråga, som fastställts i enlighet med artikel 140.4 b i kapitalkravsdirektivet och del tre avdelning IV kapitel 2 i kapitalkravsförordningen för specifik risk, eller i enlighet med del tre avdelning IV kapitel 5 i kapitalkravsförordningen för tillkommande fallissemangs- och migrationsrisk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Rad 020 (Totalt):</w:t>
            </w:r>
            <w:r>
              <w:t xml:space="preserve"> </w:t>
            </w:r>
            <w:r>
              <w:t xml:space="preserve">Summan av alla kapitalbaskrav för berörda kreditexponeringar ska fastställas i enlighet med artikel 140.4 b i kapitalkravsdirektivet och del tre avdelning IV kapitel 2 i kapitalkravsförordningen för specifik risk, eller del tre avdelning IV kapitel 5 i kapitalkravsförordningen för tillkommande fallissemangs- och migrationsrisk.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– Berörda kreditexponeringar – Positioner i värdepapperisering utanför handelslagret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Kapitalbaskrav för berörda kreditexponeringar i landet i fråga, som fastställts i enlighet med artikel 140.4 c i kapitalkravsdirektivet och del tre avdelning II kapitel 5 i kapitalkravsförordningen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kapitalbaskrav för berörda kreditexponeringar ska fastställas i enlighet med artikel 140.4 c i kapitalkravsdirektivet och del tre avdelning II kapitel 5 i kapitalkravsförordningen.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 – Totalt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Summan av beloppen i kolumnerna g, h och (i) i denna mall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kapitalbaskrav för berörda kreditexponeringar ska fastställas i enlighet med artikel 140.4 i kapitalkravsdirektivet.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Riskvägda exponeringsbelopp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Riskvägda exponeringsbelopp för berörda kreditexponeringar, som fastställts i enlighet med artikel 140.4 i kapitalkravsdirektivet, uppdelade per land, och med beaktande av eventuella landsspecifika justeringar av riskvikter som fastställts i enlighet med artikel 458 i kapitalkravsförordningen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Rad 020 (Totalt):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Summan av alla riskvägda exponeringsbelopp för berörda kreditexponeringar ska fastställas i enlighet med artikel 140.4 i kapitalkravsdirektivet.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Kapitalbaskravsvikter (%)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vikt som tillämpas för det kontracykliska buffertvärdet i varje land, uttryckt som det totala kapitalbaskrav som avser de berörda kreditexponeringarna i landet i fråga (rad 01X, kolumn j i denna mall), dividerat med de totala kapitalbaskrav som avser alla kreditexponeringar som är relevanta för beräkningen av den kontracykliska bufferten i enlighet med artikel 140.4 i kapitalkravsdirektivet (rad 020, kolumn j i denna mall)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anges i procent med 2 decimaler.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Kontracykliska kapitalbuffertvärden (%)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Kontracykliska kapitalbuffertvärden som är tillämpliga i landet i fråga, och som fastställts i enlighet med artiklarna 136, 137, 138 och 139 i kapitalkravsdirektivet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Denna kolumn ska inte innehålla kontracykliska kapitalbuffertvärden som har fastställts, men som ännu inte är tillämpliga vid tidpunkten för beräkning av den institutspecifika kontracykliska kapitalbuffert som uppgifterna avser.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ska anges i procent med samma antal decimaler som fastställts i enlighet med artiklarna 136, 137, 138 och 139 i kapitalkravsdirektivet.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Mall EU CCyB2 – Belopp av institutspecifik kontracyklisk kapitalbuffert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Instituten ska offentliggöra den information som avses i artikel 440 b i kapitalkravsförordningen genom att följa de instruktioner som anges nedan i denna bilaga för att fylla i mall EU CCyB2, vilken återfinns i bilaga IX till denna genomförandeförordning.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Rad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Totalt riskvägt exponeringsbelopp</w:t>
            </w:r>
          </w:p>
          <w:p w14:paraId="6FC34F9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Totalt riskvägt exponeringsbelopp beräknat i enlighet med artikel 92.3 i kapitalkravsförordningen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Institutspecifikt kontracykliskt kapitalbuffertvärde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Institutspecifikt kontracykliskt kapitalbuffertvärde, fastställt i enlighet med artikel 140.1 i kapitalkravsdirektivet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institutspecifika kontracykliska kapitalbuffertvärdet beräknas som det viktade genomsnittet av de kontracykliska kapitalbuffertvärden som gäller i de länder där institutets berörda kreditexponeringar finns och som anges i raderna 010.1–010.X i kolumn m i mall EU 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vikt som tillämpas för det kontracykliska kapitalbuffertvärdet i varje land är andelen kapitalkrav av de totala kapitalbaskraven, enligt kolumn l i mall EU CCyB1.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Detta värde anges i procent med 2 decimaler.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Krav på institutspecifik kontracyklisk kapitalbuffert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Institutspecifikt kontracykliskt kapitalbuffertkrav, beräknat som det institutspecifika kontracykliska kapitalbuffertvärdet, som offentliggörs i rad 2 i denna mall, tillämpat på det totala riskvägda exponeringsbelopp som offentliggörs i rad 1 i denna mall.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Rättsliga hänvisningar och instruktioner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Kolumn nr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Förklaring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Det värde som beskrivs i enlighet med förklaringen till raderna 1–3 i denna mall.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Europaparlamentets och rådets förordning (EU) nr 575/2013 av den 26 juni 2013 om tillsynskrav för kreditinstitut och om ändring av förordning (EU) nr 648/2012, i dess lydelse enligt förordning (EU) 2024/1623 (</w:t>
      </w:r>
      <w:hyperlink r:id="rId1" w:history="1">
        <w:r>
          <w:rPr>
            <w:rStyle w:val="Hyperlink"/>
            <w:color w:val="800080"/>
          </w:rPr>
          <w:t xml:space="preserve">EUT L 176, 27.6.2013, s. 1</w:t>
        </w:r>
      </w:hyperlink>
      <w: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förordning 2024/1623 – SV – EUR-Lex (europa.eu)</w:t>
        </w:r>
      </w:hyperlink>
      <w:r>
        <w:rPr>
          <w:color w:val="444444"/>
        </w:rPr>
        <w:t xml:space="preserve">[].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Europaparlamentets och rådets direktiv 2013/36/EU av den 26 juni 2013 om behörighet att utöva verksamhet i kreditinstitut och om tillsyn av kreditinstitut och värdepappersföretag, om ändring av direktiv 2002/87/EG och om upphävande av direktiv 2006/48/EG och 2006/49/EG (EUT L 176, 27.6.2013, s. 338).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Kommissionens delegerade förordning (EU) nr 1152/2014 av den 4 juni 2014 om komplettering av Europaparlamentets och rådets direktiv 2013/36/EU vad gäller tekniska tillsynsstandarder för fastställande av den geografiska platsen för berörda kreditexponeringar för beräkning av institutspecifika kontracykliska kapitalbuffertar (EUT L 309, 30.10.2014, s.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  <w:lang w:val="sv-SE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sv-S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V/TXT/?uri=OJ:L_202401623" TargetMode="External"/><Relationship Id="rId1" Type="http://schemas.openxmlformats.org/officeDocument/2006/relationships/hyperlink" Target="https://eur-lex.europa.eu/legal-content/SV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B0460-A938-4514-93FB-B43A300594CA}"/>
</file>

<file path=customXml/itemProps2.xml><?xml version="1.0" encoding="utf-8"?>
<ds:datastoreItem xmlns:ds="http://schemas.openxmlformats.org/officeDocument/2006/customXml" ds:itemID="{F12B239D-3487-4F84-BFE8-0266247B0D0C}"/>
</file>

<file path=customXml/itemProps3.xml><?xml version="1.0" encoding="utf-8"?>
<ds:datastoreItem xmlns:ds="http://schemas.openxmlformats.org/officeDocument/2006/customXml" ds:itemID="{A74E3BBA-0191-44BB-AE82-745E2A0632E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1693</Words>
  <Characters>9026</Characters>
  <Application>Microsoft Office Word</Application>
  <DocSecurity>0</DocSecurity>
  <Lines>209</Lines>
  <Paragraphs>120</Paragraphs>
  <ScaleCrop>false</ScaleCrop>
  <Company>European Banking Authority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2021-03-11T11:56:00Z</dcterms:created>
  <dcterms:modified xsi:type="dcterms:W3CDTF">2024-09-26T14:43:00Z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